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09" w:rsidRPr="007D27F0" w:rsidRDefault="00653809" w:rsidP="009D6437">
      <w:pPr>
        <w:pStyle w:val="ListParagraph"/>
        <w:spacing w:after="240" w:line="360" w:lineRule="auto"/>
        <w:jc w:val="center"/>
        <w:rPr>
          <w:rFonts w:eastAsia="Calibri"/>
        </w:rPr>
      </w:pPr>
      <w:r w:rsidRPr="007D27F0">
        <w:rPr>
          <w:rFonts w:eastAsia="Calibri"/>
          <w:b/>
        </w:rPr>
        <w:t xml:space="preserve">Chapter No 6: </w:t>
      </w:r>
      <w:r w:rsidRPr="007D27F0">
        <w:rPr>
          <w:rFonts w:eastAsia="Calibri"/>
          <w:b/>
        </w:rPr>
        <w:t>FORMING OF CERAMICS</w:t>
      </w:r>
    </w:p>
    <w:p w:rsidR="00653809" w:rsidRPr="007D27F0" w:rsidRDefault="00653809" w:rsidP="009D6437">
      <w:pPr>
        <w:pStyle w:val="ListParagraph"/>
        <w:numPr>
          <w:ilvl w:val="0"/>
          <w:numId w:val="6"/>
        </w:numPr>
        <w:autoSpaceDE w:val="0"/>
        <w:autoSpaceDN w:val="0"/>
        <w:adjustRightInd w:val="0"/>
        <w:spacing w:after="240" w:line="360" w:lineRule="auto"/>
        <w:jc w:val="both"/>
        <w:rPr>
          <w:rFonts w:eastAsia="Times-Roman"/>
          <w:b/>
        </w:rPr>
      </w:pPr>
      <w:r w:rsidRPr="007D27F0">
        <w:rPr>
          <w:rFonts w:eastAsia="Calibri"/>
          <w:b/>
        </w:rPr>
        <w:t>Introduction, Additives in ceramic forming</w:t>
      </w:r>
    </w:p>
    <w:p w:rsidR="00823606" w:rsidRPr="007D27F0" w:rsidRDefault="00653809"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t>In the forming of ceramics, the use of certain additives, sometimes in concentrations</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as low as a fraction of a percent by weight, is often vital for controlling</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the characteristics of the feed material, for achieving the desired shape, and for</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controlling the packing uniformity of the green body. In methods such as tape</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casting and injection molding, the selection of suitable additives forms one of</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 xml:space="preserve">the most vital parts of the forming process. The additives are either </w:t>
      </w:r>
      <w:r w:rsidRPr="007D27F0">
        <w:rPr>
          <w:rFonts w:ascii="Times New Roman" w:eastAsia="Times-Italic" w:hAnsi="Times New Roman" w:cs="Times New Roman"/>
          <w:i/>
          <w:iCs/>
          <w:sz w:val="24"/>
          <w:szCs w:val="24"/>
        </w:rPr>
        <w:t xml:space="preserve">organic </w:t>
      </w:r>
      <w:r w:rsidRPr="007D27F0">
        <w:rPr>
          <w:rFonts w:ascii="Times New Roman" w:eastAsia="Times-Roman" w:hAnsi="Times New Roman" w:cs="Times New Roman"/>
          <w:sz w:val="24"/>
          <w:szCs w:val="24"/>
        </w:rPr>
        <w:t>or</w:t>
      </w:r>
      <w:r w:rsidRPr="007D27F0">
        <w:rPr>
          <w:rFonts w:ascii="Times New Roman" w:eastAsia="Times-Roman" w:hAnsi="Times New Roman" w:cs="Times New Roman"/>
          <w:sz w:val="24"/>
          <w:szCs w:val="24"/>
        </w:rPr>
        <w:t xml:space="preserve"> </w:t>
      </w:r>
      <w:r w:rsidRPr="007D27F0">
        <w:rPr>
          <w:rFonts w:ascii="Times New Roman" w:eastAsia="Times-Italic" w:hAnsi="Times New Roman" w:cs="Times New Roman"/>
          <w:i/>
          <w:iCs/>
          <w:sz w:val="24"/>
          <w:szCs w:val="24"/>
        </w:rPr>
        <w:t xml:space="preserve">inorganic </w:t>
      </w:r>
      <w:r w:rsidRPr="007D27F0">
        <w:rPr>
          <w:rFonts w:ascii="Times New Roman" w:eastAsia="Times-Roman" w:hAnsi="Times New Roman" w:cs="Times New Roman"/>
          <w:sz w:val="24"/>
          <w:szCs w:val="24"/>
        </w:rPr>
        <w:t xml:space="preserve">in composition. Organic additives, which can be </w:t>
      </w:r>
      <w:r w:rsidRPr="007D27F0">
        <w:rPr>
          <w:rFonts w:ascii="Times New Roman" w:eastAsia="Times-Italic" w:hAnsi="Times New Roman" w:cs="Times New Roman"/>
          <w:i/>
          <w:iCs/>
          <w:sz w:val="24"/>
          <w:szCs w:val="24"/>
        </w:rPr>
        <w:t xml:space="preserve">synthetic </w:t>
      </w:r>
      <w:r w:rsidRPr="007D27F0">
        <w:rPr>
          <w:rFonts w:ascii="Times New Roman" w:eastAsia="Times-Roman" w:hAnsi="Times New Roman" w:cs="Times New Roman"/>
          <w:sz w:val="24"/>
          <w:szCs w:val="24"/>
        </w:rPr>
        <w:t xml:space="preserve">or </w:t>
      </w:r>
      <w:r w:rsidRPr="007D27F0">
        <w:rPr>
          <w:rFonts w:ascii="Times New Roman" w:eastAsia="Times-Italic" w:hAnsi="Times New Roman" w:cs="Times New Roman"/>
          <w:i/>
          <w:iCs/>
          <w:sz w:val="24"/>
          <w:szCs w:val="24"/>
        </w:rPr>
        <w:t>natural</w:t>
      </w:r>
      <w:r w:rsidRPr="007D27F0">
        <w:rPr>
          <w:rFonts w:ascii="Times New Roman" w:eastAsia="Times-Italic" w:hAnsi="Times New Roman" w:cs="Times New Roman"/>
          <w:i/>
          <w:iCs/>
          <w:sz w:val="24"/>
          <w:szCs w:val="24"/>
        </w:rPr>
        <w:t xml:space="preserve"> </w:t>
      </w:r>
      <w:r w:rsidRPr="007D27F0">
        <w:rPr>
          <w:rFonts w:ascii="Times New Roman" w:eastAsia="Times-Roman" w:hAnsi="Times New Roman" w:cs="Times New Roman"/>
          <w:sz w:val="24"/>
          <w:szCs w:val="24"/>
        </w:rPr>
        <w:t>in origin, find greater use in the forming of advanced ceramics because they can</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be removed almost completely (e.g., by pyrolysis) prior to the sintering step.</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Therefore the presence of residues that can degrade the microstructure of the</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final product is largely eliminated.</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Inorganic additives cannot generally be removed</w:t>
      </w:r>
      <w:r w:rsidR="00643D99"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after the forming step and are used in applications, particularly in the traditional</w:t>
      </w:r>
      <w:r w:rsidR="00643D99"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ceramics industry, where the residues do not have an adverse effect on the properties</w:t>
      </w:r>
      <w:r w:rsidR="00643D99"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of the final product.</w:t>
      </w:r>
    </w:p>
    <w:p w:rsidR="00643D99" w:rsidRPr="007D27F0" w:rsidRDefault="00643D99" w:rsidP="009D6437">
      <w:pPr>
        <w:autoSpaceDE w:val="0"/>
        <w:autoSpaceDN w:val="0"/>
        <w:adjustRightInd w:val="0"/>
        <w:spacing w:after="240" w:line="360" w:lineRule="auto"/>
        <w:rPr>
          <w:rFonts w:ascii="Times New Roman" w:eastAsia="Times-Roman" w:hAnsi="Times New Roman" w:cs="Times New Roman"/>
          <w:sz w:val="24"/>
          <w:szCs w:val="24"/>
        </w:rPr>
      </w:pPr>
      <w:r w:rsidRPr="007D27F0">
        <w:rPr>
          <w:rFonts w:ascii="Times New Roman" w:eastAsia="Times-Roman" w:hAnsi="Times New Roman" w:cs="Times New Roman"/>
          <w:sz w:val="24"/>
          <w:szCs w:val="24"/>
        </w:rPr>
        <w:t>The additives serve a variety of specialized functions, which may be divided</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 xml:space="preserve">into four main categories: </w:t>
      </w:r>
    </w:p>
    <w:p w:rsidR="00643D99" w:rsidRPr="007D27F0" w:rsidRDefault="00643D99" w:rsidP="009D6437">
      <w:pPr>
        <w:autoSpaceDE w:val="0"/>
        <w:autoSpaceDN w:val="0"/>
        <w:adjustRightInd w:val="0"/>
        <w:spacing w:after="240" w:line="360" w:lineRule="auto"/>
        <w:rPr>
          <w:rFonts w:ascii="Times New Roman" w:eastAsia="Times-Roman" w:hAnsi="Times New Roman" w:cs="Times New Roman"/>
          <w:sz w:val="24"/>
          <w:szCs w:val="24"/>
        </w:rPr>
      </w:pPr>
      <w:r w:rsidRPr="007D27F0">
        <w:rPr>
          <w:rFonts w:ascii="Times New Roman" w:eastAsia="Times-Roman" w:hAnsi="Times New Roman" w:cs="Times New Roman"/>
          <w:sz w:val="24"/>
          <w:szCs w:val="24"/>
        </w:rPr>
        <w:t xml:space="preserve">(1) </w:t>
      </w:r>
      <w:proofErr w:type="gramStart"/>
      <w:r w:rsidRPr="007D27F0">
        <w:rPr>
          <w:rFonts w:ascii="Times New Roman" w:eastAsia="Times-Roman" w:hAnsi="Times New Roman" w:cs="Times New Roman"/>
          <w:sz w:val="24"/>
          <w:szCs w:val="24"/>
        </w:rPr>
        <w:t>solvents</w:t>
      </w:r>
      <w:proofErr w:type="gramEnd"/>
      <w:r w:rsidRPr="007D27F0">
        <w:rPr>
          <w:rFonts w:ascii="Times New Roman" w:eastAsia="Times-Roman" w:hAnsi="Times New Roman" w:cs="Times New Roman"/>
          <w:sz w:val="24"/>
          <w:szCs w:val="24"/>
        </w:rPr>
        <w:t xml:space="preserve">, </w:t>
      </w:r>
    </w:p>
    <w:p w:rsidR="00643D99" w:rsidRPr="007D27F0" w:rsidRDefault="00643D99" w:rsidP="009D6437">
      <w:pPr>
        <w:autoSpaceDE w:val="0"/>
        <w:autoSpaceDN w:val="0"/>
        <w:adjustRightInd w:val="0"/>
        <w:spacing w:after="240" w:line="360" w:lineRule="auto"/>
        <w:rPr>
          <w:rFonts w:ascii="Times New Roman" w:eastAsia="Times-Roman" w:hAnsi="Times New Roman" w:cs="Times New Roman"/>
          <w:sz w:val="24"/>
          <w:szCs w:val="24"/>
        </w:rPr>
      </w:pPr>
      <w:r w:rsidRPr="007D27F0">
        <w:rPr>
          <w:rFonts w:ascii="Times New Roman" w:eastAsia="Times-Roman" w:hAnsi="Times New Roman" w:cs="Times New Roman"/>
          <w:sz w:val="24"/>
          <w:szCs w:val="24"/>
        </w:rPr>
        <w:t xml:space="preserve">(2) </w:t>
      </w:r>
      <w:proofErr w:type="gramStart"/>
      <w:r w:rsidRPr="007D27F0">
        <w:rPr>
          <w:rFonts w:ascii="Times New Roman" w:eastAsia="Times-Roman" w:hAnsi="Times New Roman" w:cs="Times New Roman"/>
          <w:sz w:val="24"/>
          <w:szCs w:val="24"/>
        </w:rPr>
        <w:t>dispersants</w:t>
      </w:r>
      <w:proofErr w:type="gramEnd"/>
      <w:r w:rsidRPr="007D27F0">
        <w:rPr>
          <w:rFonts w:ascii="Times New Roman" w:eastAsia="Times-Roman" w:hAnsi="Times New Roman" w:cs="Times New Roman"/>
          <w:sz w:val="24"/>
          <w:szCs w:val="24"/>
        </w:rPr>
        <w:t xml:space="preserve"> (also referred to as </w:t>
      </w:r>
      <w:proofErr w:type="spellStart"/>
      <w:r w:rsidRPr="007D27F0">
        <w:rPr>
          <w:rFonts w:ascii="Times New Roman" w:eastAsia="Times-Roman" w:hAnsi="Times New Roman" w:cs="Times New Roman"/>
          <w:sz w:val="24"/>
          <w:szCs w:val="24"/>
        </w:rPr>
        <w:t>deflocculants</w:t>
      </w:r>
      <w:proofErr w:type="spellEnd"/>
      <w:r w:rsidRPr="007D27F0">
        <w:rPr>
          <w:rFonts w:ascii="Times New Roman" w:eastAsia="Times-Roman" w:hAnsi="Times New Roman" w:cs="Times New Roman"/>
          <w:sz w:val="24"/>
          <w:szCs w:val="24"/>
        </w:rPr>
        <w:t>),</w:t>
      </w:r>
    </w:p>
    <w:p w:rsidR="00643D99" w:rsidRPr="007D27F0" w:rsidRDefault="00643D99"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t xml:space="preserve">(3) </w:t>
      </w:r>
      <w:proofErr w:type="gramStart"/>
      <w:r w:rsidRPr="007D27F0">
        <w:rPr>
          <w:rFonts w:ascii="Times New Roman" w:eastAsia="Times-Roman" w:hAnsi="Times New Roman" w:cs="Times New Roman"/>
          <w:sz w:val="24"/>
          <w:szCs w:val="24"/>
        </w:rPr>
        <w:t>binders</w:t>
      </w:r>
      <w:proofErr w:type="gramEnd"/>
      <w:r w:rsidRPr="007D27F0">
        <w:rPr>
          <w:rFonts w:ascii="Times New Roman" w:eastAsia="Times-Roman" w:hAnsi="Times New Roman" w:cs="Times New Roman"/>
          <w:sz w:val="24"/>
          <w:szCs w:val="24"/>
        </w:rPr>
        <w:t>,</w:t>
      </w:r>
    </w:p>
    <w:p w:rsidR="00643D99" w:rsidRPr="007D27F0" w:rsidRDefault="00643D99"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t xml:space="preserve">(4) </w:t>
      </w:r>
      <w:proofErr w:type="gramStart"/>
      <w:r w:rsidRPr="007D27F0">
        <w:rPr>
          <w:rFonts w:ascii="Times New Roman" w:eastAsia="Times-Roman" w:hAnsi="Times New Roman" w:cs="Times New Roman"/>
          <w:sz w:val="24"/>
          <w:szCs w:val="24"/>
        </w:rPr>
        <w:t>plasticizers</w:t>
      </w:r>
      <w:proofErr w:type="gramEnd"/>
      <w:r w:rsidRPr="007D27F0">
        <w:rPr>
          <w:rFonts w:ascii="Times New Roman" w:eastAsia="Times-Roman" w:hAnsi="Times New Roman" w:cs="Times New Roman"/>
          <w:sz w:val="24"/>
          <w:szCs w:val="24"/>
        </w:rPr>
        <w:t>.</w:t>
      </w:r>
    </w:p>
    <w:p w:rsidR="005C1E8C" w:rsidRPr="007D27F0" w:rsidRDefault="005C1E8C" w:rsidP="009D6437">
      <w:pPr>
        <w:pStyle w:val="ListParagraph"/>
        <w:numPr>
          <w:ilvl w:val="0"/>
          <w:numId w:val="2"/>
        </w:numPr>
        <w:autoSpaceDE w:val="0"/>
        <w:autoSpaceDN w:val="0"/>
        <w:adjustRightInd w:val="0"/>
        <w:spacing w:after="240" w:line="360" w:lineRule="auto"/>
        <w:jc w:val="both"/>
      </w:pPr>
      <w:r w:rsidRPr="007D27F0">
        <w:rPr>
          <w:b/>
          <w:bCs/>
        </w:rPr>
        <w:t>Solvents</w:t>
      </w:r>
      <w:r w:rsidRPr="007D27F0">
        <w:rPr>
          <w:b/>
          <w:bCs/>
        </w:rPr>
        <w:t>:</w:t>
      </w:r>
    </w:p>
    <w:p w:rsidR="00EE01D8" w:rsidRPr="007D27F0" w:rsidRDefault="00EE01D8" w:rsidP="009D6437">
      <w:pPr>
        <w:autoSpaceDE w:val="0"/>
        <w:autoSpaceDN w:val="0"/>
        <w:adjustRightInd w:val="0"/>
        <w:spacing w:after="240" w:line="360" w:lineRule="auto"/>
        <w:rPr>
          <w:rFonts w:ascii="Times New Roman" w:eastAsia="Times-Roman" w:hAnsi="Times New Roman" w:cs="Times New Roman"/>
          <w:sz w:val="24"/>
          <w:szCs w:val="24"/>
        </w:rPr>
      </w:pPr>
      <w:r w:rsidRPr="007D27F0">
        <w:rPr>
          <w:rFonts w:ascii="Times New Roman" w:eastAsia="Times-Roman" w:hAnsi="Times New Roman" w:cs="Times New Roman"/>
          <w:sz w:val="24"/>
          <w:szCs w:val="24"/>
        </w:rPr>
        <w:t>Liquids serve two major functions:</w:t>
      </w:r>
    </w:p>
    <w:p w:rsidR="00EE01D8" w:rsidRPr="007D27F0" w:rsidRDefault="00EE01D8" w:rsidP="009D6437">
      <w:pPr>
        <w:autoSpaceDE w:val="0"/>
        <w:autoSpaceDN w:val="0"/>
        <w:adjustRightInd w:val="0"/>
        <w:spacing w:after="240" w:line="360" w:lineRule="auto"/>
        <w:rPr>
          <w:rFonts w:ascii="Times New Roman" w:eastAsia="Times-Roman" w:hAnsi="Times New Roman" w:cs="Times New Roman"/>
          <w:sz w:val="24"/>
          <w:szCs w:val="24"/>
        </w:rPr>
      </w:pPr>
      <w:r w:rsidRPr="007D27F0">
        <w:rPr>
          <w:rFonts w:ascii="Times New Roman" w:eastAsia="Times-Roman" w:hAnsi="Times New Roman" w:cs="Times New Roman"/>
          <w:sz w:val="24"/>
          <w:szCs w:val="24"/>
        </w:rPr>
        <w:t>1. Provide fluidity for the powder during forming.</w:t>
      </w:r>
    </w:p>
    <w:p w:rsidR="005C1E8C" w:rsidRPr="007D27F0" w:rsidRDefault="00EE01D8"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t>2. Serve as solvents for dissolving the additives to be incorporated into</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the powder, thereby providing a means for uniformly dispersing the</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additives throughout the powder.</w:t>
      </w:r>
    </w:p>
    <w:p w:rsidR="00EE01D8" w:rsidRPr="007D27F0" w:rsidRDefault="00EE01D8"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lastRenderedPageBreak/>
        <w:t>The selection of a solvent involves basically a choice between water and an</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organic liquid. Organic solvents generally have higher vapor pressure, lower</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latent heat of vaporization, lower boiling point, and lower surface tension than</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water, due in a large part to the strong hydrogen bonding of the water molecules</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Several common organic solvents also have a lower viscosity than</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water. The actual choice of a liquid for a given application often involves the</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 xml:space="preserve">consideration of a combination of several properties from the following list: </w:t>
      </w:r>
    </w:p>
    <w:p w:rsidR="00EE01D8" w:rsidRPr="007D27F0" w:rsidRDefault="00EE01D8" w:rsidP="009D6437">
      <w:pPr>
        <w:pStyle w:val="ListParagraph"/>
        <w:numPr>
          <w:ilvl w:val="0"/>
          <w:numId w:val="5"/>
        </w:numPr>
        <w:autoSpaceDE w:val="0"/>
        <w:autoSpaceDN w:val="0"/>
        <w:adjustRightInd w:val="0"/>
        <w:spacing w:after="240" w:line="360" w:lineRule="auto"/>
        <w:jc w:val="both"/>
        <w:rPr>
          <w:rFonts w:eastAsia="Times-Roman"/>
        </w:rPr>
      </w:pPr>
      <w:r w:rsidRPr="007D27F0">
        <w:rPr>
          <w:rFonts w:eastAsia="Times-Roman"/>
        </w:rPr>
        <w:t>T</w:t>
      </w:r>
      <w:r w:rsidRPr="007D27F0">
        <w:rPr>
          <w:rFonts w:eastAsia="Times-Roman"/>
        </w:rPr>
        <w:t xml:space="preserve">he ability to dissolve other additives, </w:t>
      </w:r>
    </w:p>
    <w:p w:rsidR="00EE01D8" w:rsidRPr="007D27F0" w:rsidRDefault="00EE01D8" w:rsidP="009D6437">
      <w:pPr>
        <w:pStyle w:val="ListParagraph"/>
        <w:numPr>
          <w:ilvl w:val="0"/>
          <w:numId w:val="5"/>
        </w:numPr>
        <w:autoSpaceDE w:val="0"/>
        <w:autoSpaceDN w:val="0"/>
        <w:adjustRightInd w:val="0"/>
        <w:spacing w:after="240" w:line="360" w:lineRule="auto"/>
        <w:jc w:val="both"/>
        <w:rPr>
          <w:rFonts w:eastAsia="Times-Roman"/>
        </w:rPr>
      </w:pPr>
      <w:r w:rsidRPr="007D27F0">
        <w:rPr>
          <w:rFonts w:eastAsia="Times-Roman"/>
        </w:rPr>
        <w:t>E</w:t>
      </w:r>
      <w:r w:rsidRPr="007D27F0">
        <w:rPr>
          <w:rFonts w:eastAsia="Times-Roman"/>
        </w:rPr>
        <w:t xml:space="preserve">vaporation rate, </w:t>
      </w:r>
    </w:p>
    <w:p w:rsidR="00EE01D8" w:rsidRPr="007D27F0" w:rsidRDefault="00EE01D8" w:rsidP="009D6437">
      <w:pPr>
        <w:pStyle w:val="ListParagraph"/>
        <w:numPr>
          <w:ilvl w:val="0"/>
          <w:numId w:val="5"/>
        </w:numPr>
        <w:autoSpaceDE w:val="0"/>
        <w:autoSpaceDN w:val="0"/>
        <w:adjustRightInd w:val="0"/>
        <w:spacing w:after="240" w:line="360" w:lineRule="auto"/>
        <w:jc w:val="both"/>
        <w:rPr>
          <w:rFonts w:eastAsia="Times-Roman"/>
        </w:rPr>
      </w:pPr>
      <w:r w:rsidRPr="007D27F0">
        <w:rPr>
          <w:rFonts w:eastAsia="Times-Roman"/>
        </w:rPr>
        <w:t>A</w:t>
      </w:r>
      <w:r w:rsidRPr="007D27F0">
        <w:rPr>
          <w:rFonts w:eastAsia="Times-Roman"/>
        </w:rPr>
        <w:t>bility to wet the</w:t>
      </w:r>
      <w:r w:rsidRPr="007D27F0">
        <w:rPr>
          <w:rFonts w:eastAsia="Times-Roman"/>
        </w:rPr>
        <w:t xml:space="preserve"> </w:t>
      </w:r>
      <w:r w:rsidRPr="007D27F0">
        <w:rPr>
          <w:rFonts w:eastAsia="Times-Roman"/>
        </w:rPr>
        <w:t xml:space="preserve">powder, </w:t>
      </w:r>
    </w:p>
    <w:p w:rsidR="00EE01D8" w:rsidRPr="007D27F0" w:rsidRDefault="00EE01D8" w:rsidP="009D6437">
      <w:pPr>
        <w:pStyle w:val="ListParagraph"/>
        <w:numPr>
          <w:ilvl w:val="0"/>
          <w:numId w:val="5"/>
        </w:numPr>
        <w:autoSpaceDE w:val="0"/>
        <w:autoSpaceDN w:val="0"/>
        <w:adjustRightInd w:val="0"/>
        <w:spacing w:after="240" w:line="360" w:lineRule="auto"/>
        <w:jc w:val="both"/>
        <w:rPr>
          <w:rFonts w:eastAsia="Times-Roman"/>
        </w:rPr>
      </w:pPr>
      <w:r w:rsidRPr="007D27F0">
        <w:rPr>
          <w:rFonts w:eastAsia="Times-Roman"/>
        </w:rPr>
        <w:t>V</w:t>
      </w:r>
      <w:r w:rsidRPr="007D27F0">
        <w:rPr>
          <w:rFonts w:eastAsia="Times-Roman"/>
        </w:rPr>
        <w:t xml:space="preserve">iscosity, </w:t>
      </w:r>
    </w:p>
    <w:p w:rsidR="00EE01D8" w:rsidRPr="007D27F0" w:rsidRDefault="00EE01D8" w:rsidP="009D6437">
      <w:pPr>
        <w:pStyle w:val="ListParagraph"/>
        <w:numPr>
          <w:ilvl w:val="0"/>
          <w:numId w:val="5"/>
        </w:numPr>
        <w:autoSpaceDE w:val="0"/>
        <w:autoSpaceDN w:val="0"/>
        <w:adjustRightInd w:val="0"/>
        <w:spacing w:after="240" w:line="360" w:lineRule="auto"/>
        <w:jc w:val="both"/>
        <w:rPr>
          <w:rFonts w:eastAsia="Times-Roman"/>
        </w:rPr>
      </w:pPr>
      <w:r w:rsidRPr="007D27F0">
        <w:rPr>
          <w:rFonts w:eastAsia="Times-Roman"/>
        </w:rPr>
        <w:t>R</w:t>
      </w:r>
      <w:r w:rsidRPr="007D27F0">
        <w:rPr>
          <w:rFonts w:eastAsia="Times-Roman"/>
        </w:rPr>
        <w:t xml:space="preserve">eactivity towards the powder, </w:t>
      </w:r>
    </w:p>
    <w:p w:rsidR="00EE01D8" w:rsidRPr="007D27F0" w:rsidRDefault="00EE01D8" w:rsidP="009D6437">
      <w:pPr>
        <w:pStyle w:val="ListParagraph"/>
        <w:numPr>
          <w:ilvl w:val="0"/>
          <w:numId w:val="5"/>
        </w:numPr>
        <w:autoSpaceDE w:val="0"/>
        <w:autoSpaceDN w:val="0"/>
        <w:adjustRightInd w:val="0"/>
        <w:spacing w:after="240" w:line="360" w:lineRule="auto"/>
        <w:jc w:val="both"/>
        <w:rPr>
          <w:rFonts w:eastAsia="Times-Roman"/>
        </w:rPr>
      </w:pPr>
      <w:r w:rsidRPr="007D27F0">
        <w:rPr>
          <w:rFonts w:eastAsia="Times-Roman"/>
        </w:rPr>
        <w:t>S</w:t>
      </w:r>
      <w:r w:rsidRPr="007D27F0">
        <w:rPr>
          <w:rFonts w:eastAsia="Times-Roman"/>
        </w:rPr>
        <w:t xml:space="preserve">afety, </w:t>
      </w:r>
    </w:p>
    <w:p w:rsidR="00EE01D8" w:rsidRPr="007D27F0" w:rsidRDefault="00EE01D8" w:rsidP="009D6437">
      <w:pPr>
        <w:pStyle w:val="ListParagraph"/>
        <w:numPr>
          <w:ilvl w:val="0"/>
          <w:numId w:val="5"/>
        </w:numPr>
        <w:autoSpaceDE w:val="0"/>
        <w:autoSpaceDN w:val="0"/>
        <w:adjustRightInd w:val="0"/>
        <w:spacing w:after="240" w:line="360" w:lineRule="auto"/>
        <w:jc w:val="both"/>
        <w:rPr>
          <w:rFonts w:eastAsia="Times-Roman"/>
        </w:rPr>
      </w:pPr>
      <w:r w:rsidRPr="007D27F0">
        <w:rPr>
          <w:rFonts w:eastAsia="Times-Roman"/>
        </w:rPr>
        <w:t>C</w:t>
      </w:r>
      <w:r w:rsidRPr="007D27F0">
        <w:rPr>
          <w:rFonts w:eastAsia="Times-Roman"/>
        </w:rPr>
        <w:t>ost.</w:t>
      </w:r>
    </w:p>
    <w:p w:rsidR="005C1E8C" w:rsidRPr="007D27F0" w:rsidRDefault="009F42D0"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t>Generally, solubility of the solid in the liquid is enhanced if the chemicals</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have similar functional groups</w:t>
      </w:r>
      <w:r w:rsidR="00A51084" w:rsidRPr="007D27F0">
        <w:rPr>
          <w:rFonts w:ascii="Times New Roman" w:eastAsia="Times-Roman" w:hAnsi="Times New Roman" w:cs="Times New Roman"/>
          <w:sz w:val="24"/>
          <w:szCs w:val="24"/>
        </w:rPr>
        <w:t xml:space="preserve"> </w:t>
      </w:r>
      <w:r w:rsidR="00A51084" w:rsidRPr="007D27F0">
        <w:rPr>
          <w:rFonts w:ascii="Times New Roman" w:eastAsia="Times-Roman" w:hAnsi="Times New Roman" w:cs="Times New Roman"/>
          <w:sz w:val="24"/>
          <w:szCs w:val="24"/>
        </w:rPr>
        <w:t>or similar molecular polarity</w:t>
      </w:r>
      <w:r w:rsidR="00A51084" w:rsidRPr="007D27F0">
        <w:rPr>
          <w:rFonts w:ascii="Times New Roman" w:eastAsia="Times-Roman" w:hAnsi="Times New Roman" w:cs="Times New Roman"/>
          <w:sz w:val="24"/>
          <w:szCs w:val="24"/>
        </w:rPr>
        <w:t xml:space="preserve">. </w:t>
      </w:r>
      <w:r w:rsidR="003A2868" w:rsidRPr="007D27F0">
        <w:rPr>
          <w:rFonts w:ascii="Times New Roman" w:eastAsia="Times-Roman" w:hAnsi="Times New Roman" w:cs="Times New Roman"/>
          <w:sz w:val="24"/>
          <w:szCs w:val="24"/>
        </w:rPr>
        <w:t xml:space="preserve">Water has a relatively high viscosity, and its tendency to form hydrogen bonds with hydroxyl groups on the surfaces of oxide powders can often steepen the effect of particle concentration on the suspension viscosity. The result is often a reduction in the solids content of the suspension for the maximum usable viscosity when compared to the use of an organic solvent.  Secondly, the surfaces of many powders can be chemically attacked by water, leading to a change in composition and properties while this doesn’t happens with organic solvents. </w:t>
      </w:r>
      <w:r w:rsidR="003A2868" w:rsidRPr="007D27F0">
        <w:rPr>
          <w:rFonts w:ascii="Times New Roman" w:eastAsia="Times-Roman" w:hAnsi="Times New Roman" w:cs="Times New Roman"/>
          <w:sz w:val="24"/>
          <w:szCs w:val="24"/>
        </w:rPr>
        <w:t>Despite of these disadvantages w</w:t>
      </w:r>
      <w:r w:rsidR="004B03B8" w:rsidRPr="007D27F0">
        <w:rPr>
          <w:rFonts w:ascii="Times New Roman" w:eastAsia="Times-Roman" w:hAnsi="Times New Roman" w:cs="Times New Roman"/>
          <w:sz w:val="24"/>
          <w:szCs w:val="24"/>
        </w:rPr>
        <w:t>ater has a distinct advantage over organic solvents when safety, cost, and</w:t>
      </w:r>
      <w:r w:rsidR="004B03B8" w:rsidRPr="007D27F0">
        <w:rPr>
          <w:rFonts w:ascii="Times New Roman" w:eastAsia="Times-Roman" w:hAnsi="Times New Roman" w:cs="Times New Roman"/>
          <w:sz w:val="24"/>
          <w:szCs w:val="24"/>
        </w:rPr>
        <w:t xml:space="preserve"> </w:t>
      </w:r>
      <w:r w:rsidR="004B03B8" w:rsidRPr="007D27F0">
        <w:rPr>
          <w:rFonts w:ascii="Times New Roman" w:eastAsia="Times-Roman" w:hAnsi="Times New Roman" w:cs="Times New Roman"/>
          <w:sz w:val="24"/>
          <w:szCs w:val="24"/>
        </w:rPr>
        <w:t>waste disposal are considered.</w:t>
      </w:r>
      <w:r w:rsidR="004B03B8" w:rsidRPr="007D27F0">
        <w:rPr>
          <w:rFonts w:ascii="Times New Roman" w:eastAsia="Times-Roman" w:hAnsi="Times New Roman" w:cs="Times New Roman"/>
          <w:sz w:val="24"/>
          <w:szCs w:val="24"/>
        </w:rPr>
        <w:t xml:space="preserve">  </w:t>
      </w:r>
      <w:r w:rsidR="004B03B8" w:rsidRPr="007D27F0">
        <w:rPr>
          <w:rFonts w:ascii="Times New Roman" w:eastAsia="Times-Roman" w:hAnsi="Times New Roman" w:cs="Times New Roman"/>
          <w:sz w:val="24"/>
          <w:szCs w:val="24"/>
        </w:rPr>
        <w:t>Two main areas of safety are flammability</w:t>
      </w:r>
      <w:r w:rsidR="004B03B8" w:rsidRPr="007D27F0">
        <w:rPr>
          <w:rFonts w:ascii="Times New Roman" w:eastAsia="Times-Roman" w:hAnsi="Times New Roman" w:cs="Times New Roman"/>
          <w:sz w:val="24"/>
          <w:szCs w:val="24"/>
        </w:rPr>
        <w:t xml:space="preserve"> </w:t>
      </w:r>
      <w:r w:rsidR="004B03B8" w:rsidRPr="007D27F0">
        <w:rPr>
          <w:rFonts w:ascii="Times New Roman" w:eastAsia="Times-Roman" w:hAnsi="Times New Roman" w:cs="Times New Roman"/>
          <w:sz w:val="24"/>
          <w:szCs w:val="24"/>
        </w:rPr>
        <w:t>and toxicity.</w:t>
      </w:r>
      <w:r w:rsidR="004B03B8" w:rsidRPr="007D27F0">
        <w:rPr>
          <w:rFonts w:ascii="Times New Roman" w:eastAsia="Times-Roman" w:hAnsi="Times New Roman" w:cs="Times New Roman"/>
          <w:sz w:val="24"/>
          <w:szCs w:val="24"/>
        </w:rPr>
        <w:t xml:space="preserve">  </w:t>
      </w:r>
      <w:r w:rsidR="004B03B8" w:rsidRPr="007D27F0">
        <w:rPr>
          <w:rFonts w:ascii="Times New Roman" w:eastAsia="Times-Roman" w:hAnsi="Times New Roman" w:cs="Times New Roman"/>
          <w:sz w:val="24"/>
          <w:szCs w:val="24"/>
        </w:rPr>
        <w:t>Many organic liquids us</w:t>
      </w:r>
      <w:r w:rsidR="004B03B8" w:rsidRPr="007D27F0">
        <w:rPr>
          <w:rFonts w:ascii="Times New Roman" w:eastAsia="Times-Roman" w:hAnsi="Times New Roman" w:cs="Times New Roman"/>
          <w:sz w:val="24"/>
          <w:szCs w:val="24"/>
        </w:rPr>
        <w:t>ed in ceramic forming are toxic and flammable</w:t>
      </w:r>
      <w:r w:rsidR="003A2868" w:rsidRPr="007D27F0">
        <w:rPr>
          <w:rFonts w:ascii="Times New Roman" w:eastAsia="Times-Roman" w:hAnsi="Times New Roman" w:cs="Times New Roman"/>
          <w:sz w:val="24"/>
          <w:szCs w:val="24"/>
        </w:rPr>
        <w:t>.</w:t>
      </w:r>
      <w:r w:rsidR="004B03B8" w:rsidRPr="007D27F0">
        <w:rPr>
          <w:rFonts w:ascii="Times New Roman" w:eastAsia="Times-Roman" w:hAnsi="Times New Roman" w:cs="Times New Roman"/>
          <w:sz w:val="24"/>
          <w:szCs w:val="24"/>
        </w:rPr>
        <w:t xml:space="preserve"> </w:t>
      </w:r>
    </w:p>
    <w:p w:rsidR="005C1E8C" w:rsidRPr="007D27F0" w:rsidRDefault="005C1E8C" w:rsidP="009D6437">
      <w:pPr>
        <w:pStyle w:val="ListParagraph"/>
        <w:numPr>
          <w:ilvl w:val="0"/>
          <w:numId w:val="2"/>
        </w:numPr>
        <w:autoSpaceDE w:val="0"/>
        <w:autoSpaceDN w:val="0"/>
        <w:adjustRightInd w:val="0"/>
        <w:spacing w:after="240" w:line="360" w:lineRule="auto"/>
        <w:jc w:val="both"/>
        <w:rPr>
          <w:b/>
          <w:bCs/>
        </w:rPr>
      </w:pPr>
      <w:r w:rsidRPr="007D27F0">
        <w:rPr>
          <w:b/>
          <w:bCs/>
        </w:rPr>
        <w:t>D</w:t>
      </w:r>
      <w:r w:rsidRPr="007D27F0">
        <w:rPr>
          <w:b/>
          <w:bCs/>
        </w:rPr>
        <w:t>ispersants</w:t>
      </w:r>
      <w:r w:rsidRPr="007D27F0">
        <w:rPr>
          <w:b/>
          <w:bCs/>
        </w:rPr>
        <w:t>:</w:t>
      </w:r>
    </w:p>
    <w:p w:rsidR="005262A7" w:rsidRPr="007D27F0" w:rsidRDefault="005262A7"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lastRenderedPageBreak/>
        <w:t xml:space="preserve">Dispersants, also referred to as </w:t>
      </w:r>
      <w:proofErr w:type="spellStart"/>
      <w:r w:rsidRPr="007D27F0">
        <w:rPr>
          <w:rFonts w:ascii="Times New Roman" w:eastAsia="Times-Roman" w:hAnsi="Times New Roman" w:cs="Times New Roman"/>
          <w:sz w:val="24"/>
          <w:szCs w:val="24"/>
        </w:rPr>
        <w:t>deflocculants</w:t>
      </w:r>
      <w:proofErr w:type="spellEnd"/>
      <w:r w:rsidRPr="007D27F0">
        <w:rPr>
          <w:rFonts w:ascii="Times New Roman" w:eastAsia="Times-Roman" w:hAnsi="Times New Roman" w:cs="Times New Roman"/>
          <w:sz w:val="24"/>
          <w:szCs w:val="24"/>
        </w:rPr>
        <w:t>, serve to stabilize a slurry against</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flocculation by increasing the repulsion between the particles. While normally</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used in very small concentrations (e.g., a fraction of a percent by weight), the</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dispersant plays a key role in maximizing the particle concentration for some</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usable viscosity of the slurry. Dispersants cover a wide range of chemical composition</w:t>
      </w:r>
      <w:r w:rsidRPr="007D27F0">
        <w:rPr>
          <w:rFonts w:ascii="Times New Roman" w:eastAsia="Times-Roman" w:hAnsi="Times New Roman" w:cs="Times New Roman"/>
          <w:sz w:val="24"/>
          <w:szCs w:val="24"/>
        </w:rPr>
        <w:t>. D</w:t>
      </w:r>
      <w:r w:rsidRPr="007D27F0">
        <w:rPr>
          <w:rFonts w:ascii="Times New Roman" w:eastAsia="Times-Roman" w:hAnsi="Times New Roman" w:cs="Times New Roman"/>
          <w:sz w:val="24"/>
          <w:szCs w:val="24"/>
        </w:rPr>
        <w:t>ispersants</w:t>
      </w:r>
      <w:r w:rsidRPr="007D27F0">
        <w:rPr>
          <w:rFonts w:ascii="Times New Roman" w:eastAsia="Times-Roman" w:hAnsi="Times New Roman" w:cs="Times New Roman"/>
          <w:sz w:val="24"/>
          <w:szCs w:val="24"/>
        </w:rPr>
        <w:t xml:space="preserve"> are divided</w:t>
      </w:r>
      <w:r w:rsidRPr="007D27F0">
        <w:rPr>
          <w:rFonts w:ascii="Times New Roman" w:eastAsia="Times-Roman" w:hAnsi="Times New Roman" w:cs="Times New Roman"/>
          <w:sz w:val="24"/>
          <w:szCs w:val="24"/>
        </w:rPr>
        <w:t xml:space="preserve"> into three main classes, based on their chemical</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structure, as follows:</w:t>
      </w:r>
    </w:p>
    <w:p w:rsidR="005262A7" w:rsidRPr="007D27F0" w:rsidRDefault="005262A7" w:rsidP="009D6437">
      <w:pPr>
        <w:autoSpaceDE w:val="0"/>
        <w:autoSpaceDN w:val="0"/>
        <w:adjustRightInd w:val="0"/>
        <w:spacing w:after="240" w:line="360" w:lineRule="auto"/>
        <w:rPr>
          <w:rFonts w:ascii="Times New Roman" w:eastAsia="Times-Roman" w:hAnsi="Times New Roman" w:cs="Times New Roman"/>
          <w:sz w:val="24"/>
          <w:szCs w:val="24"/>
        </w:rPr>
      </w:pPr>
      <w:r w:rsidRPr="007D27F0">
        <w:rPr>
          <w:rFonts w:ascii="Times New Roman" w:eastAsia="Times-Roman" w:hAnsi="Times New Roman" w:cs="Times New Roman"/>
          <w:sz w:val="24"/>
          <w:szCs w:val="24"/>
        </w:rPr>
        <w:t>1. Simple ions and molecules</w:t>
      </w:r>
    </w:p>
    <w:p w:rsidR="005262A7" w:rsidRPr="007D27F0" w:rsidRDefault="005262A7" w:rsidP="009D6437">
      <w:pPr>
        <w:autoSpaceDE w:val="0"/>
        <w:autoSpaceDN w:val="0"/>
        <w:adjustRightInd w:val="0"/>
        <w:spacing w:after="240" w:line="360" w:lineRule="auto"/>
        <w:jc w:val="both"/>
        <w:rPr>
          <w:rFonts w:ascii="Times New Roman" w:eastAsia="Times-Italic" w:hAnsi="Times New Roman" w:cs="Times New Roman"/>
          <w:i/>
          <w:iCs/>
          <w:sz w:val="24"/>
          <w:szCs w:val="24"/>
        </w:rPr>
      </w:pPr>
      <w:r w:rsidRPr="007D27F0">
        <w:rPr>
          <w:rFonts w:ascii="Times New Roman" w:eastAsia="Times-Roman" w:hAnsi="Times New Roman" w:cs="Times New Roman"/>
          <w:sz w:val="24"/>
          <w:szCs w:val="24"/>
        </w:rPr>
        <w:t>2. Short chain polymers with a functional head (or end) group, commonly</w:t>
      </w:r>
      <w:r w:rsidR="00D728B3"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 xml:space="preserve">referred to as </w:t>
      </w:r>
      <w:r w:rsidRPr="007D27F0">
        <w:rPr>
          <w:rFonts w:ascii="Times New Roman" w:eastAsia="Times-Italic" w:hAnsi="Times New Roman" w:cs="Times New Roman"/>
          <w:i/>
          <w:iCs/>
          <w:sz w:val="24"/>
          <w:szCs w:val="24"/>
        </w:rPr>
        <w:t>surfactants</w:t>
      </w:r>
    </w:p>
    <w:p w:rsidR="005C1E8C" w:rsidRPr="007D27F0" w:rsidRDefault="005262A7" w:rsidP="009D6437">
      <w:pPr>
        <w:autoSpaceDE w:val="0"/>
        <w:autoSpaceDN w:val="0"/>
        <w:adjustRightInd w:val="0"/>
        <w:spacing w:after="240" w:line="360" w:lineRule="auto"/>
        <w:jc w:val="both"/>
        <w:rPr>
          <w:rFonts w:ascii="Times New Roman" w:hAnsi="Times New Roman" w:cs="Times New Roman"/>
          <w:b/>
          <w:bCs/>
          <w:sz w:val="24"/>
          <w:szCs w:val="24"/>
        </w:rPr>
      </w:pPr>
      <w:r w:rsidRPr="007D27F0">
        <w:rPr>
          <w:rFonts w:ascii="Times New Roman" w:eastAsia="Times-Roman" w:hAnsi="Times New Roman" w:cs="Times New Roman"/>
          <w:sz w:val="24"/>
          <w:szCs w:val="24"/>
        </w:rPr>
        <w:t>3. Low to medium molecular weight polymers</w:t>
      </w:r>
    </w:p>
    <w:p w:rsidR="005C1E8C" w:rsidRPr="007D27F0" w:rsidRDefault="005C1E8C" w:rsidP="009D6437">
      <w:pPr>
        <w:pStyle w:val="ListParagraph"/>
        <w:numPr>
          <w:ilvl w:val="0"/>
          <w:numId w:val="2"/>
        </w:numPr>
        <w:autoSpaceDE w:val="0"/>
        <w:autoSpaceDN w:val="0"/>
        <w:adjustRightInd w:val="0"/>
        <w:spacing w:after="240" w:line="360" w:lineRule="auto"/>
        <w:jc w:val="both"/>
        <w:rPr>
          <w:b/>
          <w:bCs/>
        </w:rPr>
      </w:pPr>
      <w:r w:rsidRPr="007D27F0">
        <w:rPr>
          <w:b/>
          <w:bCs/>
        </w:rPr>
        <w:t>B</w:t>
      </w:r>
      <w:r w:rsidRPr="007D27F0">
        <w:rPr>
          <w:b/>
          <w:bCs/>
        </w:rPr>
        <w:t>inders</w:t>
      </w:r>
      <w:r w:rsidRPr="007D27F0">
        <w:rPr>
          <w:b/>
          <w:bCs/>
        </w:rPr>
        <w:t>:</w:t>
      </w:r>
    </w:p>
    <w:p w:rsidR="005C1E8C" w:rsidRPr="007D27F0" w:rsidRDefault="00D728B3" w:rsidP="009D6437">
      <w:pPr>
        <w:autoSpaceDE w:val="0"/>
        <w:autoSpaceDN w:val="0"/>
        <w:adjustRightInd w:val="0"/>
        <w:spacing w:after="24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t>Binders are typically long chain polymers that serve the primary function of</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providing strength to the green body by forming bridges between the particles.</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In some forming methods (e.g., injection molding), they also provide plasticity</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to the feed material to aid the forming process. A lar</w:t>
      </w:r>
      <w:r w:rsidR="00ED1715" w:rsidRPr="007D27F0">
        <w:rPr>
          <w:rFonts w:ascii="Times New Roman" w:eastAsia="Times-Roman" w:hAnsi="Times New Roman" w:cs="Times New Roman"/>
          <w:sz w:val="24"/>
          <w:szCs w:val="24"/>
        </w:rPr>
        <w:t xml:space="preserve">ge number of organic substances </w:t>
      </w:r>
      <w:r w:rsidRPr="007D27F0">
        <w:rPr>
          <w:rFonts w:ascii="Times New Roman" w:eastAsia="Times-Roman" w:hAnsi="Times New Roman" w:cs="Times New Roman"/>
          <w:sz w:val="24"/>
          <w:szCs w:val="24"/>
        </w:rPr>
        <w:t>can be utilized as binders, some of which are soluble in water, while</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others are soluble in organic liquids.</w:t>
      </w:r>
      <w:r w:rsidR="001928CB" w:rsidRPr="007D27F0">
        <w:rPr>
          <w:rFonts w:ascii="Times New Roman" w:eastAsia="Times-Roman" w:hAnsi="Times New Roman" w:cs="Times New Roman"/>
          <w:sz w:val="24"/>
          <w:szCs w:val="24"/>
        </w:rPr>
        <w:t xml:space="preserve">  </w:t>
      </w:r>
      <w:r w:rsidR="00ED1715" w:rsidRPr="007D27F0">
        <w:rPr>
          <w:rFonts w:ascii="Times New Roman" w:eastAsia="Times-Roman" w:hAnsi="Times New Roman" w:cs="Times New Roman"/>
          <w:sz w:val="24"/>
          <w:szCs w:val="24"/>
        </w:rPr>
        <w:t>S</w:t>
      </w:r>
      <w:r w:rsidR="00ED1715" w:rsidRPr="007D27F0">
        <w:rPr>
          <w:rFonts w:ascii="Times New Roman" w:eastAsia="Times-Roman" w:hAnsi="Times New Roman" w:cs="Times New Roman"/>
          <w:sz w:val="24"/>
          <w:szCs w:val="24"/>
        </w:rPr>
        <w:t>ome common</w:t>
      </w:r>
      <w:r w:rsidR="00ED1715" w:rsidRPr="007D27F0">
        <w:rPr>
          <w:rFonts w:ascii="Times New Roman" w:eastAsia="Times-Roman" w:hAnsi="Times New Roman" w:cs="Times New Roman"/>
          <w:sz w:val="24"/>
          <w:szCs w:val="24"/>
        </w:rPr>
        <w:t xml:space="preserve"> </w:t>
      </w:r>
      <w:r w:rsidR="00ED1715" w:rsidRPr="007D27F0">
        <w:rPr>
          <w:rFonts w:ascii="Times New Roman" w:eastAsia="Times-Italic" w:hAnsi="Times New Roman" w:cs="Times New Roman"/>
          <w:i/>
          <w:iCs/>
          <w:sz w:val="24"/>
          <w:szCs w:val="24"/>
        </w:rPr>
        <w:t xml:space="preserve">synthetic </w:t>
      </w:r>
      <w:r w:rsidR="00ED1715" w:rsidRPr="007D27F0">
        <w:rPr>
          <w:rFonts w:ascii="Times New Roman" w:eastAsia="Times-Roman" w:hAnsi="Times New Roman" w:cs="Times New Roman"/>
          <w:sz w:val="24"/>
          <w:szCs w:val="24"/>
        </w:rPr>
        <w:t xml:space="preserve">binders include the </w:t>
      </w:r>
      <w:proofErr w:type="spellStart"/>
      <w:r w:rsidR="00ED1715" w:rsidRPr="007D27F0">
        <w:rPr>
          <w:rFonts w:ascii="Times New Roman" w:eastAsia="Times-Roman" w:hAnsi="Times New Roman" w:cs="Times New Roman"/>
          <w:sz w:val="24"/>
          <w:szCs w:val="24"/>
        </w:rPr>
        <w:t>vinyls</w:t>
      </w:r>
      <w:proofErr w:type="spellEnd"/>
      <w:r w:rsidR="00ED1715" w:rsidRPr="007D27F0">
        <w:rPr>
          <w:rFonts w:ascii="Times New Roman" w:eastAsia="Times-Roman" w:hAnsi="Times New Roman" w:cs="Times New Roman"/>
          <w:sz w:val="24"/>
          <w:szCs w:val="24"/>
        </w:rPr>
        <w:t>, acrylics, and</w:t>
      </w:r>
      <w:r w:rsidR="00ED1715" w:rsidRPr="007D27F0">
        <w:rPr>
          <w:rFonts w:ascii="Times New Roman" w:eastAsia="Times-Roman" w:hAnsi="Times New Roman" w:cs="Times New Roman"/>
          <w:sz w:val="24"/>
          <w:szCs w:val="24"/>
        </w:rPr>
        <w:t xml:space="preserve"> </w:t>
      </w:r>
      <w:r w:rsidR="00ED1715" w:rsidRPr="007D27F0">
        <w:rPr>
          <w:rFonts w:ascii="Times New Roman" w:eastAsia="Times-Roman" w:hAnsi="Times New Roman" w:cs="Times New Roman"/>
          <w:sz w:val="24"/>
          <w:szCs w:val="24"/>
        </w:rPr>
        <w:t>the ethylene oxides (glycols).</w:t>
      </w:r>
      <w:r w:rsidR="00AB125A" w:rsidRPr="007D27F0">
        <w:rPr>
          <w:rFonts w:ascii="Times New Roman" w:eastAsia="Times-Roman" w:hAnsi="Times New Roman" w:cs="Times New Roman"/>
          <w:sz w:val="24"/>
          <w:szCs w:val="24"/>
        </w:rPr>
        <w:t xml:space="preserve">  </w:t>
      </w:r>
      <w:r w:rsidR="00AB125A" w:rsidRPr="007D27F0">
        <w:rPr>
          <w:rFonts w:ascii="Times New Roman" w:eastAsia="Times-Roman" w:hAnsi="Times New Roman" w:cs="Times New Roman"/>
          <w:sz w:val="24"/>
          <w:szCs w:val="24"/>
        </w:rPr>
        <w:t>The binder as well as the other additives used to aid the forming of the</w:t>
      </w:r>
      <w:r w:rsidR="00AB125A" w:rsidRPr="007D27F0">
        <w:rPr>
          <w:rFonts w:ascii="Times New Roman" w:eastAsia="Times-Roman" w:hAnsi="Times New Roman" w:cs="Times New Roman"/>
          <w:sz w:val="24"/>
          <w:szCs w:val="24"/>
        </w:rPr>
        <w:t xml:space="preserve"> </w:t>
      </w:r>
      <w:r w:rsidR="00AB125A" w:rsidRPr="007D27F0">
        <w:rPr>
          <w:rFonts w:ascii="Times New Roman" w:eastAsia="Times-Roman" w:hAnsi="Times New Roman" w:cs="Times New Roman"/>
          <w:sz w:val="24"/>
          <w:szCs w:val="24"/>
        </w:rPr>
        <w:t>green body must normally be removed as completely as possible prior to sintering. The concentration of the binder is commonly much</w:t>
      </w:r>
      <w:r w:rsidR="00AB125A" w:rsidRPr="007D27F0">
        <w:rPr>
          <w:rFonts w:ascii="Times New Roman" w:eastAsia="Times-Roman" w:hAnsi="Times New Roman" w:cs="Times New Roman"/>
          <w:sz w:val="24"/>
          <w:szCs w:val="24"/>
        </w:rPr>
        <w:t xml:space="preserve"> greater</w:t>
      </w:r>
      <w:r w:rsidR="00AB125A" w:rsidRPr="007D27F0">
        <w:rPr>
          <w:rFonts w:ascii="Times New Roman" w:eastAsia="Times-Roman" w:hAnsi="Times New Roman" w:cs="Times New Roman"/>
          <w:sz w:val="24"/>
          <w:szCs w:val="24"/>
        </w:rPr>
        <w:t xml:space="preserve"> that of the other additives, so the burnout characteristics is of primary</w:t>
      </w:r>
      <w:r w:rsidR="00AB125A" w:rsidRPr="007D27F0">
        <w:rPr>
          <w:rFonts w:ascii="Times New Roman" w:eastAsia="Times-Roman" w:hAnsi="Times New Roman" w:cs="Times New Roman"/>
          <w:sz w:val="24"/>
          <w:szCs w:val="24"/>
        </w:rPr>
        <w:t xml:space="preserve"> </w:t>
      </w:r>
      <w:r w:rsidR="00AB125A" w:rsidRPr="007D27F0">
        <w:rPr>
          <w:rFonts w:ascii="Times New Roman" w:eastAsia="Times-Roman" w:hAnsi="Times New Roman" w:cs="Times New Roman"/>
          <w:sz w:val="24"/>
          <w:szCs w:val="24"/>
        </w:rPr>
        <w:t>importance in the selection of the binder.</w:t>
      </w:r>
      <w:r w:rsidR="00CE703C" w:rsidRPr="007D27F0">
        <w:rPr>
          <w:rFonts w:ascii="Times New Roman" w:eastAsia="Times-Roman" w:hAnsi="Times New Roman" w:cs="Times New Roman"/>
          <w:sz w:val="24"/>
          <w:szCs w:val="24"/>
        </w:rPr>
        <w:t xml:space="preserve">  </w:t>
      </w:r>
      <w:r w:rsidR="00CE703C" w:rsidRPr="007D27F0">
        <w:rPr>
          <w:rFonts w:ascii="Times New Roman" w:eastAsia="Times-Roman" w:hAnsi="Times New Roman" w:cs="Times New Roman"/>
          <w:sz w:val="24"/>
          <w:szCs w:val="24"/>
        </w:rPr>
        <w:t>If a dispersant is</w:t>
      </w:r>
      <w:r w:rsidR="00CE703C" w:rsidRPr="007D27F0">
        <w:rPr>
          <w:rFonts w:ascii="Times New Roman" w:eastAsia="Times-Roman" w:hAnsi="Times New Roman" w:cs="Times New Roman"/>
          <w:sz w:val="24"/>
          <w:szCs w:val="24"/>
        </w:rPr>
        <w:t xml:space="preserve"> </w:t>
      </w:r>
      <w:r w:rsidR="00CE703C" w:rsidRPr="007D27F0">
        <w:rPr>
          <w:rFonts w:ascii="Times New Roman" w:eastAsia="Times-Roman" w:hAnsi="Times New Roman" w:cs="Times New Roman"/>
          <w:sz w:val="24"/>
          <w:szCs w:val="24"/>
        </w:rPr>
        <w:t>used in the forming process, then the binder should be compatible with it.</w:t>
      </w:r>
    </w:p>
    <w:p w:rsidR="005C1E8C" w:rsidRPr="007D27F0" w:rsidRDefault="005C1E8C" w:rsidP="009D6437">
      <w:pPr>
        <w:pStyle w:val="ListParagraph"/>
        <w:numPr>
          <w:ilvl w:val="0"/>
          <w:numId w:val="2"/>
        </w:numPr>
        <w:autoSpaceDE w:val="0"/>
        <w:autoSpaceDN w:val="0"/>
        <w:adjustRightInd w:val="0"/>
        <w:spacing w:after="240" w:line="360" w:lineRule="auto"/>
        <w:jc w:val="both"/>
      </w:pPr>
      <w:r w:rsidRPr="007D27F0">
        <w:rPr>
          <w:b/>
          <w:bCs/>
        </w:rPr>
        <w:t>P</w:t>
      </w:r>
      <w:r w:rsidRPr="007D27F0">
        <w:rPr>
          <w:b/>
          <w:bCs/>
        </w:rPr>
        <w:t>lasticizers</w:t>
      </w:r>
      <w:r w:rsidRPr="007D27F0">
        <w:rPr>
          <w:b/>
          <w:bCs/>
        </w:rPr>
        <w:t>:</w:t>
      </w:r>
    </w:p>
    <w:p w:rsidR="004E31AC" w:rsidRPr="007D27F0" w:rsidRDefault="004E31AC" w:rsidP="00926648">
      <w:pPr>
        <w:autoSpaceDE w:val="0"/>
        <w:autoSpaceDN w:val="0"/>
        <w:adjustRightInd w:val="0"/>
        <w:spacing w:after="0" w:line="360" w:lineRule="auto"/>
        <w:jc w:val="both"/>
        <w:rPr>
          <w:rFonts w:ascii="Times New Roman" w:eastAsia="Times-Roman" w:hAnsi="Times New Roman" w:cs="Times New Roman"/>
          <w:sz w:val="24"/>
          <w:szCs w:val="24"/>
        </w:rPr>
      </w:pPr>
      <w:r w:rsidRPr="007D27F0">
        <w:rPr>
          <w:rFonts w:ascii="Times New Roman" w:eastAsia="Times-Roman" w:hAnsi="Times New Roman" w:cs="Times New Roman"/>
          <w:sz w:val="24"/>
          <w:szCs w:val="24"/>
        </w:rPr>
        <w:t>Plasticizers are generally organic substances with a lower molecular weight than</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the binder. The primary function of the plasticizer is to soften the binder in the</w:t>
      </w:r>
      <w:r w:rsidRPr="007D27F0">
        <w:rPr>
          <w:rFonts w:ascii="Times New Roman" w:eastAsia="Times-Roman" w:hAnsi="Times New Roman" w:cs="Times New Roman"/>
          <w:sz w:val="24"/>
          <w:szCs w:val="24"/>
        </w:rPr>
        <w:t xml:space="preserve"> dry state</w:t>
      </w:r>
      <w:r w:rsidRPr="007D27F0">
        <w:rPr>
          <w:rFonts w:ascii="Times New Roman" w:eastAsia="Times-Roman" w:hAnsi="Times New Roman" w:cs="Times New Roman"/>
          <w:sz w:val="24"/>
          <w:szCs w:val="24"/>
        </w:rPr>
        <w:t>, thereby increasing the flexibility of</w:t>
      </w:r>
      <w:r w:rsidRPr="007D27F0">
        <w:rPr>
          <w:rFonts w:ascii="Times New Roman" w:eastAsia="Times-Roman" w:hAnsi="Times New Roman" w:cs="Times New Roman"/>
          <w:sz w:val="24"/>
          <w:szCs w:val="24"/>
        </w:rPr>
        <w:t xml:space="preserve"> </w:t>
      </w:r>
      <w:r w:rsidRPr="007D27F0">
        <w:rPr>
          <w:rFonts w:ascii="Times New Roman" w:eastAsia="Times-Roman" w:hAnsi="Times New Roman" w:cs="Times New Roman"/>
          <w:sz w:val="24"/>
          <w:szCs w:val="24"/>
        </w:rPr>
        <w:t>the green body</w:t>
      </w:r>
      <w:r w:rsidRPr="007D27F0">
        <w:rPr>
          <w:rFonts w:ascii="Times New Roman" w:eastAsia="Times-Roman" w:hAnsi="Times New Roman" w:cs="Times New Roman"/>
          <w:sz w:val="24"/>
          <w:szCs w:val="24"/>
        </w:rPr>
        <w:t>, especially utilized in tape casting.</w:t>
      </w:r>
      <w:r w:rsidR="00926648" w:rsidRPr="007D27F0">
        <w:rPr>
          <w:rFonts w:ascii="Times New Roman" w:eastAsia="Times-Roman" w:hAnsi="Times New Roman" w:cs="Times New Roman"/>
          <w:sz w:val="24"/>
          <w:szCs w:val="24"/>
        </w:rPr>
        <w:t xml:space="preserve">  </w:t>
      </w:r>
      <w:r w:rsidR="00926648" w:rsidRPr="007D27F0">
        <w:rPr>
          <w:rFonts w:ascii="Times New Roman" w:eastAsia="Times-Roman" w:hAnsi="Times New Roman" w:cs="Times New Roman"/>
          <w:sz w:val="24"/>
          <w:szCs w:val="24"/>
        </w:rPr>
        <w:t>For forming processes in</w:t>
      </w:r>
      <w:r w:rsidR="00926648" w:rsidRPr="007D27F0">
        <w:rPr>
          <w:rFonts w:ascii="Times New Roman" w:eastAsia="Times-Roman" w:hAnsi="Times New Roman" w:cs="Times New Roman"/>
          <w:sz w:val="24"/>
          <w:szCs w:val="24"/>
        </w:rPr>
        <w:t xml:space="preserve"> </w:t>
      </w:r>
      <w:r w:rsidR="00926648" w:rsidRPr="007D27F0">
        <w:rPr>
          <w:rFonts w:ascii="Times New Roman" w:eastAsia="Times-Roman" w:hAnsi="Times New Roman" w:cs="Times New Roman"/>
          <w:sz w:val="24"/>
          <w:szCs w:val="24"/>
        </w:rPr>
        <w:t>which the binder is introduced as a solution, the plasticizer must be soluble in</w:t>
      </w:r>
      <w:r w:rsidR="00926648" w:rsidRPr="007D27F0">
        <w:rPr>
          <w:rFonts w:ascii="Times New Roman" w:eastAsia="Times-Roman" w:hAnsi="Times New Roman" w:cs="Times New Roman"/>
          <w:sz w:val="24"/>
          <w:szCs w:val="24"/>
        </w:rPr>
        <w:t xml:space="preserve"> </w:t>
      </w:r>
      <w:r w:rsidR="00926648" w:rsidRPr="007D27F0">
        <w:rPr>
          <w:rFonts w:ascii="Times New Roman" w:eastAsia="Times-Roman" w:hAnsi="Times New Roman" w:cs="Times New Roman"/>
          <w:sz w:val="24"/>
          <w:szCs w:val="24"/>
        </w:rPr>
        <w:t>the same liquid used to dissolve the binder. In the dry state, the binder and</w:t>
      </w:r>
      <w:r w:rsidR="00926648" w:rsidRPr="007D27F0">
        <w:rPr>
          <w:rFonts w:ascii="Times New Roman" w:eastAsia="Times-Roman" w:hAnsi="Times New Roman" w:cs="Times New Roman"/>
          <w:sz w:val="24"/>
          <w:szCs w:val="24"/>
        </w:rPr>
        <w:t xml:space="preserve"> </w:t>
      </w:r>
      <w:r w:rsidR="00926648" w:rsidRPr="007D27F0">
        <w:rPr>
          <w:rFonts w:ascii="Times New Roman" w:eastAsia="Times-Roman" w:hAnsi="Times New Roman" w:cs="Times New Roman"/>
          <w:sz w:val="24"/>
          <w:szCs w:val="24"/>
        </w:rPr>
        <w:t>plasticizer are homogeneously mixed as a single substance. The plasticizer molecules</w:t>
      </w:r>
      <w:r w:rsidR="00926648" w:rsidRPr="007D27F0">
        <w:rPr>
          <w:rFonts w:ascii="Times New Roman" w:eastAsia="Times-Roman" w:hAnsi="Times New Roman" w:cs="Times New Roman"/>
          <w:sz w:val="24"/>
          <w:szCs w:val="24"/>
        </w:rPr>
        <w:t xml:space="preserve"> </w:t>
      </w:r>
      <w:r w:rsidR="00926648" w:rsidRPr="007D27F0">
        <w:rPr>
          <w:rFonts w:ascii="Times New Roman" w:eastAsia="Times-Roman" w:hAnsi="Times New Roman" w:cs="Times New Roman"/>
          <w:sz w:val="24"/>
          <w:szCs w:val="24"/>
        </w:rPr>
        <w:t xml:space="preserve">get between the polymer chains of the binder, thereby </w:t>
      </w:r>
      <w:r w:rsidR="00926648" w:rsidRPr="007D27F0">
        <w:rPr>
          <w:rFonts w:ascii="Times New Roman" w:eastAsia="Times-Roman" w:hAnsi="Times New Roman" w:cs="Times New Roman"/>
          <w:sz w:val="24"/>
          <w:szCs w:val="24"/>
        </w:rPr>
        <w:lastRenderedPageBreak/>
        <w:t>disrupting the chain</w:t>
      </w:r>
      <w:r w:rsidR="00926648" w:rsidRPr="007D27F0">
        <w:rPr>
          <w:rFonts w:ascii="Times New Roman" w:eastAsia="Times-Roman" w:hAnsi="Times New Roman" w:cs="Times New Roman"/>
          <w:sz w:val="24"/>
          <w:szCs w:val="24"/>
        </w:rPr>
        <w:t xml:space="preserve"> </w:t>
      </w:r>
      <w:r w:rsidR="00926648" w:rsidRPr="007D27F0">
        <w:rPr>
          <w:rFonts w:ascii="Times New Roman" w:eastAsia="Times-Roman" w:hAnsi="Times New Roman" w:cs="Times New Roman"/>
          <w:sz w:val="24"/>
          <w:szCs w:val="24"/>
        </w:rPr>
        <w:t>alignment and reducing the van der Waals bonding between adjacent chains. This</w:t>
      </w:r>
      <w:r w:rsidR="00926648" w:rsidRPr="007D27F0">
        <w:rPr>
          <w:rFonts w:ascii="Times New Roman" w:eastAsia="Times-Roman" w:hAnsi="Times New Roman" w:cs="Times New Roman"/>
          <w:sz w:val="24"/>
          <w:szCs w:val="24"/>
        </w:rPr>
        <w:t xml:space="preserve"> </w:t>
      </w:r>
      <w:r w:rsidR="00926648" w:rsidRPr="007D27F0">
        <w:rPr>
          <w:rFonts w:ascii="Times New Roman" w:eastAsia="Times-Roman" w:hAnsi="Times New Roman" w:cs="Times New Roman"/>
          <w:sz w:val="24"/>
          <w:szCs w:val="24"/>
        </w:rPr>
        <w:t>leads to softening of the binder but also reduces the strength.</w:t>
      </w:r>
    </w:p>
    <w:p w:rsidR="00022E85" w:rsidRDefault="00022E85" w:rsidP="002C74BB">
      <w:pPr>
        <w:autoSpaceDE w:val="0"/>
        <w:autoSpaceDN w:val="0"/>
        <w:adjustRightInd w:val="0"/>
        <w:spacing w:after="0" w:line="360" w:lineRule="auto"/>
        <w:jc w:val="both"/>
        <w:rPr>
          <w:rFonts w:ascii="Times New Roman" w:hAnsi="Times New Roman" w:cs="Times New Roman"/>
          <w:b/>
          <w:bCs/>
          <w:sz w:val="24"/>
          <w:szCs w:val="24"/>
        </w:rPr>
      </w:pPr>
    </w:p>
    <w:p w:rsidR="00CB0C47" w:rsidRPr="00022E85" w:rsidRDefault="002C74BB" w:rsidP="00022E85">
      <w:pPr>
        <w:pStyle w:val="ListParagraph"/>
        <w:numPr>
          <w:ilvl w:val="0"/>
          <w:numId w:val="6"/>
        </w:numPr>
        <w:autoSpaceDE w:val="0"/>
        <w:autoSpaceDN w:val="0"/>
        <w:adjustRightInd w:val="0"/>
        <w:spacing w:line="360" w:lineRule="auto"/>
        <w:jc w:val="both"/>
        <w:rPr>
          <w:b/>
          <w:bCs/>
        </w:rPr>
      </w:pPr>
      <w:bookmarkStart w:id="0" w:name="_GoBack"/>
      <w:bookmarkEnd w:id="0"/>
      <w:r w:rsidRPr="00022E85">
        <w:rPr>
          <w:b/>
          <w:bCs/>
        </w:rPr>
        <w:t>Grain Growth and Coarsening</w:t>
      </w:r>
    </w:p>
    <w:p w:rsidR="002C74BB" w:rsidRDefault="002C74BB" w:rsidP="00502F0D">
      <w:pPr>
        <w:autoSpaceDE w:val="0"/>
        <w:autoSpaceDN w:val="0"/>
        <w:adjustRightInd w:val="0"/>
        <w:spacing w:after="0" w:line="360" w:lineRule="auto"/>
        <w:jc w:val="both"/>
        <w:rPr>
          <w:rFonts w:ascii="Times New Roman" w:eastAsia="Times-Roman" w:hAnsi="Times New Roman" w:cs="Times New Roman"/>
          <w:sz w:val="24"/>
          <w:szCs w:val="24"/>
        </w:rPr>
      </w:pPr>
      <w:r w:rsidRPr="002C74BB">
        <w:rPr>
          <w:rFonts w:ascii="Times New Roman" w:eastAsia="Times-Italic" w:hAnsi="Times New Roman" w:cs="Times New Roman"/>
          <w:i/>
          <w:iCs/>
          <w:sz w:val="24"/>
          <w:szCs w:val="24"/>
        </w:rPr>
        <w:t xml:space="preserve">Grain growth </w:t>
      </w:r>
      <w:r w:rsidRPr="002C74BB">
        <w:rPr>
          <w:rFonts w:ascii="Times New Roman" w:eastAsia="Times-Roman" w:hAnsi="Times New Roman" w:cs="Times New Roman"/>
          <w:sz w:val="24"/>
          <w:szCs w:val="24"/>
        </w:rPr>
        <w:t>is the term used to describe the increase in the grain size of a</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single-phase solid or in the matrix grain size of a solid containing second-phase</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particles. Grain growth occurs in both dense and porous polycrystalline solids at</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sufficiently high temperatures. For the conservation of matter, the sum of the</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individual grain sizes must remain constant; so an increase in the average grain</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size is accompanied by the disappearance of some grains, usually the smaller</w:t>
      </w:r>
      <w:r w:rsidRPr="002C74BB">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ones. In porous solids, both the grains and the pores commonly increase in size</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while decreasing in number. Because of the considerable interaction between the</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grains and the pores, microstructural evolution is considerably more complex</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 xml:space="preserve">than for dense solids. Frequently, the term </w:t>
      </w:r>
      <w:r w:rsidRPr="002C74BB">
        <w:rPr>
          <w:rFonts w:ascii="Times New Roman" w:eastAsia="Times-Italic" w:hAnsi="Times New Roman" w:cs="Times New Roman"/>
          <w:i/>
          <w:iCs/>
          <w:sz w:val="24"/>
          <w:szCs w:val="24"/>
        </w:rPr>
        <w:t xml:space="preserve">coarsening </w:t>
      </w:r>
      <w:r w:rsidRPr="002C74BB">
        <w:rPr>
          <w:rFonts w:ascii="Times New Roman" w:eastAsia="Times-Roman" w:hAnsi="Times New Roman" w:cs="Times New Roman"/>
          <w:sz w:val="24"/>
          <w:szCs w:val="24"/>
        </w:rPr>
        <w:t>is used to describe the</w:t>
      </w:r>
      <w:r>
        <w:rPr>
          <w:rFonts w:ascii="Times New Roman" w:eastAsia="Times-Roman" w:hAnsi="Times New Roman" w:cs="Times New Roman"/>
          <w:sz w:val="24"/>
          <w:szCs w:val="24"/>
        </w:rPr>
        <w:t xml:space="preserve"> </w:t>
      </w:r>
      <w:r w:rsidRPr="002C74BB">
        <w:rPr>
          <w:rFonts w:ascii="Times New Roman" w:eastAsia="Times-Roman" w:hAnsi="Times New Roman" w:cs="Times New Roman"/>
          <w:sz w:val="24"/>
          <w:szCs w:val="24"/>
        </w:rPr>
        <w:t>process of grain growth coupled with pore growth.</w:t>
      </w:r>
      <w:r w:rsidR="00502F0D">
        <w:rPr>
          <w:rFonts w:ascii="Times New Roman" w:eastAsia="Times-Roman" w:hAnsi="Times New Roman" w:cs="Times New Roman"/>
          <w:sz w:val="24"/>
          <w:szCs w:val="24"/>
        </w:rPr>
        <w:t xml:space="preserve">  </w:t>
      </w:r>
    </w:p>
    <w:p w:rsidR="00502F0D" w:rsidRPr="00502F0D" w:rsidRDefault="00502F0D" w:rsidP="00502F0D">
      <w:pPr>
        <w:autoSpaceDE w:val="0"/>
        <w:autoSpaceDN w:val="0"/>
        <w:adjustRightInd w:val="0"/>
        <w:spacing w:after="0" w:line="360" w:lineRule="auto"/>
        <w:jc w:val="both"/>
        <w:rPr>
          <w:rFonts w:ascii="Times New Roman" w:eastAsia="Times-Roman" w:hAnsi="Times New Roman" w:cs="Times New Roman"/>
          <w:sz w:val="24"/>
          <w:szCs w:val="24"/>
        </w:rPr>
      </w:pPr>
      <w:r w:rsidRPr="00502F0D">
        <w:rPr>
          <w:rFonts w:ascii="Times New Roman" w:eastAsia="Times-Roman" w:hAnsi="Times New Roman" w:cs="Times New Roman"/>
          <w:sz w:val="24"/>
          <w:szCs w:val="24"/>
        </w:rPr>
        <w:t xml:space="preserve">Grain growth in ceramics is generally divided into two types: </w:t>
      </w:r>
    </w:p>
    <w:p w:rsidR="00502F0D" w:rsidRPr="00502F0D" w:rsidRDefault="00502F0D" w:rsidP="00502F0D">
      <w:pPr>
        <w:autoSpaceDE w:val="0"/>
        <w:autoSpaceDN w:val="0"/>
        <w:adjustRightInd w:val="0"/>
        <w:spacing w:after="0" w:line="360" w:lineRule="auto"/>
        <w:jc w:val="both"/>
        <w:rPr>
          <w:rFonts w:ascii="Times New Roman" w:eastAsia="Times-Roman" w:hAnsi="Times New Roman" w:cs="Times New Roman"/>
          <w:sz w:val="24"/>
          <w:szCs w:val="24"/>
        </w:rPr>
      </w:pPr>
      <w:r w:rsidRPr="00502F0D">
        <w:rPr>
          <w:rFonts w:ascii="Times New Roman" w:eastAsia="Times-Roman" w:hAnsi="Times New Roman" w:cs="Times New Roman"/>
          <w:sz w:val="24"/>
          <w:szCs w:val="24"/>
        </w:rPr>
        <w:t xml:space="preserve">(1) </w:t>
      </w:r>
      <w:r>
        <w:rPr>
          <w:rFonts w:ascii="Times New Roman" w:eastAsia="Times-Roman" w:hAnsi="Times New Roman" w:cs="Times New Roman"/>
          <w:sz w:val="24"/>
          <w:szCs w:val="24"/>
        </w:rPr>
        <w:t>N</w:t>
      </w:r>
      <w:r w:rsidRPr="00502F0D">
        <w:rPr>
          <w:rFonts w:ascii="Times New Roman" w:eastAsia="Times-Roman" w:hAnsi="Times New Roman" w:cs="Times New Roman"/>
          <w:sz w:val="24"/>
          <w:szCs w:val="24"/>
        </w:rPr>
        <w:t>ormal grain</w:t>
      </w:r>
      <w:r w:rsidRPr="00502F0D">
        <w:rPr>
          <w:rFonts w:ascii="Times New Roman" w:eastAsia="Times-Roman" w:hAnsi="Times New Roman" w:cs="Times New Roman"/>
          <w:sz w:val="24"/>
          <w:szCs w:val="24"/>
        </w:rPr>
        <w:t xml:space="preserve"> </w:t>
      </w:r>
      <w:r w:rsidRPr="00502F0D">
        <w:rPr>
          <w:rFonts w:ascii="Times New Roman" w:eastAsia="Times-Roman" w:hAnsi="Times New Roman" w:cs="Times New Roman"/>
          <w:sz w:val="24"/>
          <w:szCs w:val="24"/>
        </w:rPr>
        <w:t xml:space="preserve">growth </w:t>
      </w:r>
    </w:p>
    <w:p w:rsidR="00502F0D" w:rsidRPr="002C74BB" w:rsidRDefault="00502F0D" w:rsidP="00502F0D">
      <w:pPr>
        <w:autoSpaceDE w:val="0"/>
        <w:autoSpaceDN w:val="0"/>
        <w:adjustRightInd w:val="0"/>
        <w:spacing w:after="0" w:line="360" w:lineRule="auto"/>
        <w:jc w:val="both"/>
        <w:rPr>
          <w:rFonts w:ascii="Times New Roman" w:eastAsia="Times-Roman" w:hAnsi="Times New Roman" w:cs="Times New Roman"/>
          <w:sz w:val="24"/>
          <w:szCs w:val="24"/>
        </w:rPr>
      </w:pPr>
      <w:r w:rsidRPr="00502F0D">
        <w:rPr>
          <w:rFonts w:ascii="Times New Roman" w:eastAsia="Times-Roman" w:hAnsi="Times New Roman" w:cs="Times New Roman"/>
          <w:sz w:val="24"/>
          <w:szCs w:val="24"/>
        </w:rPr>
        <w:t xml:space="preserve">(2) </w:t>
      </w:r>
      <w:r>
        <w:rPr>
          <w:rFonts w:ascii="Times New Roman" w:eastAsia="Times-Roman" w:hAnsi="Times New Roman" w:cs="Times New Roman"/>
          <w:sz w:val="24"/>
          <w:szCs w:val="24"/>
        </w:rPr>
        <w:t>A</w:t>
      </w:r>
      <w:r w:rsidRPr="00502F0D">
        <w:rPr>
          <w:rFonts w:ascii="Times New Roman" w:eastAsia="Times-Roman" w:hAnsi="Times New Roman" w:cs="Times New Roman"/>
          <w:sz w:val="24"/>
          <w:szCs w:val="24"/>
        </w:rPr>
        <w:t>bnormal grain growth, which is sometimes referred to as exaggerated</w:t>
      </w:r>
      <w:r w:rsidRPr="00502F0D">
        <w:rPr>
          <w:rFonts w:ascii="Times New Roman" w:eastAsia="Times-Roman" w:hAnsi="Times New Roman" w:cs="Times New Roman"/>
          <w:sz w:val="24"/>
          <w:szCs w:val="24"/>
        </w:rPr>
        <w:t xml:space="preserve"> </w:t>
      </w:r>
      <w:r w:rsidRPr="00502F0D">
        <w:rPr>
          <w:rFonts w:ascii="Times New Roman" w:eastAsia="Times-Roman" w:hAnsi="Times New Roman" w:cs="Times New Roman"/>
          <w:sz w:val="24"/>
          <w:szCs w:val="24"/>
        </w:rPr>
        <w:t>grain growth, discontinuous grain growth</w:t>
      </w:r>
    </w:p>
    <w:sectPr w:rsidR="00502F0D" w:rsidRPr="002C74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94" w:rsidRDefault="00C03194" w:rsidP="009D6437">
      <w:pPr>
        <w:spacing w:after="0" w:line="240" w:lineRule="auto"/>
      </w:pPr>
      <w:r>
        <w:separator/>
      </w:r>
    </w:p>
  </w:endnote>
  <w:endnote w:type="continuationSeparator" w:id="0">
    <w:p w:rsidR="00C03194" w:rsidRDefault="00C03194" w:rsidP="009D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Arial Unicode MS"/>
    <w:panose1 w:val="00000000000000000000"/>
    <w:charset w:val="81"/>
    <w:family w:val="auto"/>
    <w:notTrueType/>
    <w:pitch w:val="default"/>
    <w:sig w:usb0="00000001" w:usb1="09060000" w:usb2="00000010" w:usb3="00000000" w:csb0="00080000" w:csb1="00000000"/>
  </w:font>
  <w:font w:name="Times-Italic">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889832"/>
      <w:docPartObj>
        <w:docPartGallery w:val="Page Numbers (Bottom of Page)"/>
        <w:docPartUnique/>
      </w:docPartObj>
    </w:sdtPr>
    <w:sdtEndPr>
      <w:rPr>
        <w:noProof/>
      </w:rPr>
    </w:sdtEndPr>
    <w:sdtContent>
      <w:p w:rsidR="007D27F0" w:rsidRDefault="007D27F0">
        <w:pPr>
          <w:pStyle w:val="Footer"/>
          <w:jc w:val="right"/>
        </w:pPr>
        <w:r>
          <w:fldChar w:fldCharType="begin"/>
        </w:r>
        <w:r>
          <w:instrText xml:space="preserve"> PAGE   \* MERGEFORMAT </w:instrText>
        </w:r>
        <w:r>
          <w:fldChar w:fldCharType="separate"/>
        </w:r>
        <w:r w:rsidR="00022E85">
          <w:rPr>
            <w:noProof/>
          </w:rPr>
          <w:t>4</w:t>
        </w:r>
        <w:r>
          <w:rPr>
            <w:noProof/>
          </w:rPr>
          <w:fldChar w:fldCharType="end"/>
        </w:r>
      </w:p>
    </w:sdtContent>
  </w:sdt>
  <w:p w:rsidR="007D27F0" w:rsidRDefault="007D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94" w:rsidRDefault="00C03194" w:rsidP="009D6437">
      <w:pPr>
        <w:spacing w:after="0" w:line="240" w:lineRule="auto"/>
      </w:pPr>
      <w:r>
        <w:separator/>
      </w:r>
    </w:p>
  </w:footnote>
  <w:footnote w:type="continuationSeparator" w:id="0">
    <w:p w:rsidR="00C03194" w:rsidRDefault="00C03194" w:rsidP="009D6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193"/>
    <w:multiLevelType w:val="hybridMultilevel"/>
    <w:tmpl w:val="05D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3D3D"/>
    <w:multiLevelType w:val="hybridMultilevel"/>
    <w:tmpl w:val="CB92542A"/>
    <w:lvl w:ilvl="0" w:tplc="3E8E1CE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62685"/>
    <w:multiLevelType w:val="hybridMultilevel"/>
    <w:tmpl w:val="10340AFE"/>
    <w:lvl w:ilvl="0" w:tplc="DEEA34CE">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0463"/>
    <w:multiLevelType w:val="hybridMultilevel"/>
    <w:tmpl w:val="629215E4"/>
    <w:lvl w:ilvl="0" w:tplc="93E65294">
      <w:start w:val="1"/>
      <w:numFmt w:val="decimal"/>
      <w:lvlText w:val="Chapter No %1."/>
      <w:lvlJc w:val="left"/>
      <w:pPr>
        <w:ind w:left="720" w:hanging="360"/>
      </w:pPr>
      <w:rPr>
        <w:rFonts w:hint="default"/>
        <w:b/>
        <w:i/>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16C05"/>
    <w:multiLevelType w:val="hybridMultilevel"/>
    <w:tmpl w:val="9CCCEE42"/>
    <w:lvl w:ilvl="0" w:tplc="7E26F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B429A"/>
    <w:multiLevelType w:val="hybridMultilevel"/>
    <w:tmpl w:val="D4CABFD6"/>
    <w:lvl w:ilvl="0" w:tplc="7E26F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09"/>
    <w:rsid w:val="00022E85"/>
    <w:rsid w:val="001928CB"/>
    <w:rsid w:val="002C74BB"/>
    <w:rsid w:val="003A2868"/>
    <w:rsid w:val="004B03B8"/>
    <w:rsid w:val="004E31AC"/>
    <w:rsid w:val="00502F0D"/>
    <w:rsid w:val="005262A7"/>
    <w:rsid w:val="005C1E8C"/>
    <w:rsid w:val="00643D99"/>
    <w:rsid w:val="00653809"/>
    <w:rsid w:val="007D27F0"/>
    <w:rsid w:val="008E1213"/>
    <w:rsid w:val="00926648"/>
    <w:rsid w:val="009D6437"/>
    <w:rsid w:val="009F42D0"/>
    <w:rsid w:val="00A51084"/>
    <w:rsid w:val="00AB125A"/>
    <w:rsid w:val="00C03194"/>
    <w:rsid w:val="00CB0C47"/>
    <w:rsid w:val="00CE703C"/>
    <w:rsid w:val="00D728B3"/>
    <w:rsid w:val="00ED1715"/>
    <w:rsid w:val="00EE01D8"/>
    <w:rsid w:val="00EE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C625C-82D9-4219-A525-588D03FE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80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37"/>
  </w:style>
  <w:style w:type="paragraph" w:styleId="Footer">
    <w:name w:val="footer"/>
    <w:basedOn w:val="Normal"/>
    <w:link w:val="FooterChar"/>
    <w:uiPriority w:val="99"/>
    <w:unhideWhenUsed/>
    <w:rsid w:val="009D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18</cp:revision>
  <dcterms:created xsi:type="dcterms:W3CDTF">2020-05-08T17:04:00Z</dcterms:created>
  <dcterms:modified xsi:type="dcterms:W3CDTF">2020-05-08T18:53:00Z</dcterms:modified>
</cp:coreProperties>
</file>